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DE2" w:rsidRPr="00536DE2" w:rsidRDefault="00536DE2" w:rsidP="00536DE2">
      <w:pPr>
        <w:shd w:val="clear" w:color="auto" w:fill="B8CCE4" w:themeFill="accent1" w:themeFillTint="66"/>
        <w:spacing w:after="200" w:line="276" w:lineRule="auto"/>
        <w:jc w:val="center"/>
        <w:rPr>
          <w:rFonts w:asciiTheme="majorHAnsi" w:hAnsiTheme="majorHAnsi" w:cstheme="minorBidi"/>
          <w:b/>
          <w:color w:val="auto"/>
        </w:rPr>
      </w:pPr>
      <w:r w:rsidRPr="00536DE2">
        <w:rPr>
          <w:rFonts w:asciiTheme="majorHAnsi" w:hAnsiTheme="majorHAnsi" w:cstheme="minorBidi"/>
          <w:b/>
          <w:color w:val="17365D" w:themeColor="text2" w:themeShade="BF"/>
        </w:rPr>
        <w:t>Goal 10: Reduce inequality within and among countries.</w:t>
      </w:r>
    </w:p>
    <w:p w:rsidR="00536DE2" w:rsidRPr="00536DE2" w:rsidRDefault="00536DE2" w:rsidP="00536DE2">
      <w:pPr>
        <w:shd w:val="clear" w:color="auto" w:fill="B8CCE4" w:themeFill="accent1" w:themeFillTint="66"/>
        <w:spacing w:after="200" w:line="276" w:lineRule="auto"/>
        <w:jc w:val="both"/>
        <w:rPr>
          <w:rFonts w:asciiTheme="majorHAnsi" w:hAnsiTheme="majorHAnsi" w:cstheme="minorBidi"/>
          <w:b/>
          <w:color w:val="365F91" w:themeColor="accent1" w:themeShade="BF"/>
        </w:rPr>
      </w:pPr>
      <w:proofErr w:type="gramStart"/>
      <w:r w:rsidRPr="00536DE2">
        <w:rPr>
          <w:rFonts w:asciiTheme="majorHAnsi" w:hAnsiTheme="majorHAnsi" w:cstheme="minorBidi"/>
          <w:b/>
          <w:color w:val="365F91" w:themeColor="accent1" w:themeShade="BF"/>
        </w:rPr>
        <w:t>Target 10.4: Adopt policies, especially fiscal, wage and social protection policies, and progressively achieve greater equality.</w:t>
      </w:r>
      <w:proofErr w:type="gramEnd"/>
    </w:p>
    <w:p w:rsidR="00536DE2" w:rsidRPr="00536DE2" w:rsidRDefault="00536DE2" w:rsidP="00536DE2">
      <w:pPr>
        <w:shd w:val="clear" w:color="auto" w:fill="FFFFFF"/>
        <w:spacing w:after="120"/>
        <w:jc w:val="both"/>
        <w:rPr>
          <w:rFonts w:ascii="Garamond" w:hAnsi="Garamond" w:cstheme="minorBidi"/>
        </w:rPr>
      </w:pPr>
      <w:r w:rsidRPr="00536DE2">
        <w:rPr>
          <w:rFonts w:ascii="Garamond" w:eastAsia="Times New Roman" w:hAnsi="Garamond"/>
          <w:b/>
          <w:color w:val="000000" w:themeColor="text1"/>
          <w:szCs w:val="22"/>
          <w:lang w:eastAsia="en-GB"/>
        </w:rPr>
        <w:t>Current Indicator 10.4.1 Description:</w:t>
      </w:r>
      <w:r w:rsidRPr="00536DE2">
        <w:rPr>
          <w:rFonts w:ascii="Garamond" w:eastAsia="Times New Roman" w:hAnsi="Garamond"/>
          <w:color w:val="000000" w:themeColor="text1"/>
          <w:szCs w:val="22"/>
          <w:lang w:eastAsia="en-GB"/>
        </w:rPr>
        <w:t xml:space="preserve"> </w:t>
      </w:r>
      <w:r w:rsidRPr="00536DE2">
        <w:rPr>
          <w:rFonts w:ascii="Garamond" w:eastAsia="Times New Roman" w:hAnsi="Garamond"/>
          <w:color w:val="auto"/>
          <w:szCs w:val="22"/>
          <w:lang w:eastAsia="en-GB"/>
        </w:rPr>
        <w:t>“</w:t>
      </w:r>
      <w:r w:rsidRPr="00536DE2">
        <w:rPr>
          <w:rFonts w:ascii="Garamond" w:hAnsi="Garamond" w:cstheme="minorBidi"/>
          <w:color w:val="auto"/>
        </w:rPr>
        <w:t xml:space="preserve">Percentage of people covered by </w:t>
      </w:r>
      <w:r w:rsidRPr="00536DE2">
        <w:rPr>
          <w:rFonts w:ascii="Garamond" w:hAnsi="Garamond" w:cstheme="minorBidi"/>
          <w:b/>
          <w:i/>
          <w:color w:val="auto"/>
        </w:rPr>
        <w:t>minimum social protection floors, that include basic education and health packages,</w:t>
      </w:r>
      <w:r w:rsidRPr="00536DE2">
        <w:rPr>
          <w:rFonts w:ascii="Garamond" w:hAnsi="Garamond" w:cstheme="minorBidi"/>
          <w:i/>
          <w:color w:val="auto"/>
        </w:rPr>
        <w:t xml:space="preserve"> </w:t>
      </w:r>
      <w:r w:rsidRPr="00536DE2">
        <w:rPr>
          <w:rFonts w:ascii="Garamond" w:hAnsi="Garamond" w:cstheme="minorBidi"/>
          <w:color w:val="auto"/>
        </w:rPr>
        <w:t>by age, sex, economic status, origin, place of residence, disability, and civil status (widows, partners in union outside of marriage, divorced spouses, orphan children) and other characteristics of relevance for each country”</w:t>
      </w:r>
    </w:p>
    <w:p w:rsidR="00536DE2" w:rsidRPr="00536DE2" w:rsidRDefault="00536DE2" w:rsidP="00536DE2">
      <w:pPr>
        <w:shd w:val="clear" w:color="auto" w:fill="FFFFFF"/>
        <w:spacing w:after="120"/>
        <w:jc w:val="both"/>
        <w:rPr>
          <w:rFonts w:ascii="Garamond" w:hAnsi="Garamond" w:cstheme="minorBidi"/>
          <w:color w:val="auto"/>
        </w:rPr>
      </w:pPr>
      <w:r w:rsidRPr="00536DE2">
        <w:rPr>
          <w:rFonts w:ascii="Garamond" w:hAnsi="Garamond" w:cstheme="minorBidi"/>
          <w:b/>
          <w:color w:val="auto"/>
        </w:rPr>
        <w:t>Note that the current indicator is a mistake. Social protection floors consist mainly of cash transfers (</w:t>
      </w:r>
      <w:proofErr w:type="spellStart"/>
      <w:r w:rsidRPr="00536DE2">
        <w:rPr>
          <w:rFonts w:ascii="Garamond" w:hAnsi="Garamond" w:cstheme="minorBidi"/>
          <w:b/>
          <w:color w:val="auto"/>
        </w:rPr>
        <w:t>eg</w:t>
      </w:r>
      <w:proofErr w:type="spellEnd"/>
      <w:r w:rsidRPr="00536DE2">
        <w:rPr>
          <w:rFonts w:ascii="Garamond" w:hAnsi="Garamond" w:cstheme="minorBidi"/>
          <w:b/>
          <w:color w:val="auto"/>
        </w:rPr>
        <w:t xml:space="preserve"> pensions, child and maternity benefits, </w:t>
      </w:r>
      <w:proofErr w:type="spellStart"/>
      <w:r w:rsidRPr="00536DE2">
        <w:rPr>
          <w:rFonts w:ascii="Garamond" w:hAnsi="Garamond" w:cstheme="minorBidi"/>
          <w:b/>
          <w:color w:val="auto"/>
        </w:rPr>
        <w:t>etc</w:t>
      </w:r>
      <w:proofErr w:type="spellEnd"/>
      <w:r w:rsidRPr="00536DE2">
        <w:rPr>
          <w:rFonts w:ascii="Garamond" w:hAnsi="Garamond" w:cstheme="minorBidi"/>
          <w:b/>
          <w:color w:val="auto"/>
        </w:rPr>
        <w:t xml:space="preserve">). Suggest to either </w:t>
      </w:r>
      <w:proofErr w:type="gramStart"/>
      <w:r w:rsidRPr="00536DE2">
        <w:rPr>
          <w:rFonts w:ascii="Garamond" w:hAnsi="Garamond" w:cstheme="minorBidi"/>
          <w:b/>
          <w:color w:val="auto"/>
        </w:rPr>
        <w:t>use</w:t>
      </w:r>
      <w:proofErr w:type="gramEnd"/>
      <w:r w:rsidRPr="00536DE2">
        <w:rPr>
          <w:rFonts w:ascii="Garamond" w:hAnsi="Garamond" w:cstheme="minorBidi"/>
          <w:b/>
          <w:color w:val="auto"/>
        </w:rPr>
        <w:t xml:space="preserve"> indicator 1.3.1 or the new indicator 10.4.1 proposed below</w:t>
      </w:r>
    </w:p>
    <w:p w:rsidR="00536DE2" w:rsidRPr="00536DE2" w:rsidRDefault="00536DE2" w:rsidP="00536DE2">
      <w:pPr>
        <w:shd w:val="clear" w:color="auto" w:fill="FFFFFF"/>
        <w:spacing w:after="120"/>
        <w:jc w:val="both"/>
        <w:rPr>
          <w:rFonts w:ascii="Garamond" w:hAnsi="Garamond" w:cstheme="minorBidi"/>
        </w:rPr>
      </w:pPr>
      <w:r w:rsidRPr="00536DE2">
        <w:rPr>
          <w:rFonts w:ascii="Garamond" w:eastAsia="Times New Roman" w:hAnsi="Garamond"/>
          <w:b/>
          <w:color w:val="000000" w:themeColor="text1"/>
          <w:szCs w:val="22"/>
          <w:lang w:eastAsia="en-GB"/>
        </w:rPr>
        <w:t>ILO proposed alternative text:</w:t>
      </w:r>
      <w:r w:rsidRPr="00536DE2">
        <w:rPr>
          <w:rFonts w:ascii="Garamond" w:eastAsia="Times New Roman" w:hAnsi="Garamond"/>
          <w:color w:val="000000" w:themeColor="text1"/>
          <w:szCs w:val="22"/>
          <w:lang w:eastAsia="en-GB"/>
        </w:rPr>
        <w:t xml:space="preserve"> </w:t>
      </w:r>
      <w:proofErr w:type="spellStart"/>
      <w:r w:rsidRPr="00536DE2">
        <w:rPr>
          <w:rFonts w:ascii="Garamond" w:hAnsi="Garamond" w:cstheme="minorBidi"/>
        </w:rPr>
        <w:t>Labor</w:t>
      </w:r>
      <w:proofErr w:type="spellEnd"/>
      <w:r w:rsidRPr="00536DE2">
        <w:rPr>
          <w:rFonts w:ascii="Garamond" w:hAnsi="Garamond" w:cstheme="minorBidi"/>
        </w:rPr>
        <w:t xml:space="preserve"> share of GDP, comprising wages and social protection transfers.</w:t>
      </w:r>
    </w:p>
    <w:p w:rsidR="00536DE2" w:rsidRPr="00536DE2" w:rsidRDefault="00536DE2" w:rsidP="00536DE2">
      <w:pPr>
        <w:shd w:val="clear" w:color="auto" w:fill="FFFFFF"/>
        <w:spacing w:after="120"/>
        <w:ind w:left="720"/>
        <w:jc w:val="both"/>
        <w:rPr>
          <w:rFonts w:ascii="Garamond" w:hAnsi="Garamond" w:cstheme="minorBidi"/>
        </w:rPr>
      </w:pPr>
    </w:p>
    <w:p w:rsidR="00536DE2" w:rsidRPr="00536DE2" w:rsidRDefault="00536DE2" w:rsidP="00536DE2">
      <w:pPr>
        <w:shd w:val="clear" w:color="auto" w:fill="FFFFFF"/>
        <w:spacing w:after="120"/>
        <w:jc w:val="both"/>
        <w:rPr>
          <w:rFonts w:ascii="Garamond" w:eastAsia="Times New Roman" w:hAnsi="Garamond"/>
          <w:b/>
          <w:color w:val="000000" w:themeColor="text1"/>
          <w:szCs w:val="22"/>
          <w:lang w:eastAsia="it-IT"/>
        </w:rPr>
      </w:pPr>
      <w:r w:rsidRPr="00536DE2">
        <w:rPr>
          <w:rFonts w:ascii="Garamond" w:eastAsia="Times New Roman" w:hAnsi="Garamond"/>
          <w:b/>
          <w:color w:val="000000" w:themeColor="text1"/>
          <w:szCs w:val="22"/>
          <w:lang w:eastAsia="it-IT"/>
        </w:rPr>
        <w:t>Definition and method of computation</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r w:rsidRPr="00536DE2">
        <w:rPr>
          <w:rFonts w:ascii="Garamond" w:eastAsia="Times New Roman" w:hAnsi="Garamond"/>
          <w:color w:val="000000" w:themeColor="text1"/>
          <w:szCs w:val="22"/>
          <w:lang w:eastAsia="it-IT"/>
        </w:rPr>
        <w:t xml:space="preserve">The definition of the </w:t>
      </w:r>
      <w:proofErr w:type="spellStart"/>
      <w:r w:rsidRPr="00536DE2">
        <w:rPr>
          <w:rFonts w:ascii="Garamond" w:eastAsia="Times New Roman" w:hAnsi="Garamond"/>
          <w:color w:val="000000" w:themeColor="text1"/>
          <w:szCs w:val="22"/>
          <w:lang w:eastAsia="it-IT"/>
        </w:rPr>
        <w:t>labor</w:t>
      </w:r>
      <w:proofErr w:type="spellEnd"/>
      <w:r w:rsidRPr="00536DE2">
        <w:rPr>
          <w:rFonts w:ascii="Garamond" w:eastAsia="Times New Roman" w:hAnsi="Garamond"/>
          <w:color w:val="000000" w:themeColor="text1"/>
          <w:szCs w:val="22"/>
          <w:lang w:eastAsia="it-IT"/>
        </w:rPr>
        <w:t xml:space="preserve"> share is based on ILO (2014a) and augmented with social protection transfers including (but not only) employers’ social security contributions.</w:t>
      </w:r>
    </w:p>
    <w:p w:rsidR="00536DE2" w:rsidRPr="00536DE2" w:rsidRDefault="00536DE2" w:rsidP="00536DE2">
      <w:pPr>
        <w:shd w:val="clear" w:color="auto" w:fill="FFFFFF"/>
        <w:spacing w:after="120"/>
        <w:ind w:left="720"/>
        <w:jc w:val="both"/>
        <w:rPr>
          <w:rFonts w:ascii="Garamond" w:eastAsia="Times New Roman" w:hAnsi="Garamond"/>
          <w:color w:val="000000" w:themeColor="text1"/>
          <w:szCs w:val="22"/>
          <w:lang w:eastAsia="it-IT"/>
        </w:rPr>
      </w:pPr>
    </w:p>
    <w:p w:rsidR="00536DE2" w:rsidRPr="00536DE2" w:rsidRDefault="00536DE2" w:rsidP="00536DE2">
      <w:pPr>
        <w:shd w:val="clear" w:color="auto" w:fill="FFFFFF"/>
        <w:spacing w:after="120"/>
        <w:jc w:val="both"/>
        <w:rPr>
          <w:rFonts w:ascii="Garamond" w:eastAsia="Times New Roman" w:hAnsi="Garamond"/>
          <w:b/>
          <w:color w:val="000000" w:themeColor="text1"/>
          <w:szCs w:val="22"/>
          <w:lang w:eastAsia="it-IT"/>
        </w:rPr>
      </w:pPr>
      <w:r w:rsidRPr="00536DE2">
        <w:rPr>
          <w:rFonts w:ascii="Garamond" w:eastAsia="Times New Roman" w:hAnsi="Garamond"/>
          <w:b/>
          <w:color w:val="000000" w:themeColor="text1"/>
          <w:szCs w:val="22"/>
          <w:lang w:eastAsia="it-IT"/>
        </w:rPr>
        <w:t>Rationale and interpretation</w:t>
      </w:r>
    </w:p>
    <w:p w:rsidR="00536DE2" w:rsidRPr="00536DE2" w:rsidRDefault="00536DE2" w:rsidP="00536DE2">
      <w:pPr>
        <w:shd w:val="clear" w:color="auto" w:fill="FFFFFF"/>
        <w:spacing w:after="120"/>
        <w:jc w:val="both"/>
        <w:rPr>
          <w:rFonts w:ascii="Garamond" w:hAnsi="Garamond" w:cstheme="minorBidi"/>
        </w:rPr>
      </w:pPr>
      <w:r w:rsidRPr="00536DE2">
        <w:rPr>
          <w:rFonts w:ascii="Garamond" w:hAnsi="Garamond" w:cstheme="minorBidi"/>
        </w:rPr>
        <w:t>The current indicator mistakenly overlooks the internationally agreed definition of social protection, mainly based on cash transfers (</w:t>
      </w:r>
      <w:proofErr w:type="spellStart"/>
      <w:r w:rsidRPr="00536DE2">
        <w:rPr>
          <w:rFonts w:ascii="Garamond" w:hAnsi="Garamond" w:cstheme="minorBidi"/>
        </w:rPr>
        <w:t>eg</w:t>
      </w:r>
      <w:proofErr w:type="spellEnd"/>
      <w:r w:rsidRPr="00536DE2">
        <w:rPr>
          <w:rFonts w:ascii="Garamond" w:hAnsi="Garamond" w:cstheme="minorBidi"/>
        </w:rPr>
        <w:t xml:space="preserve"> pensions, disability, child and maternity benefits, </w:t>
      </w:r>
      <w:proofErr w:type="spellStart"/>
      <w:r w:rsidRPr="00536DE2">
        <w:rPr>
          <w:rFonts w:ascii="Garamond" w:hAnsi="Garamond" w:cstheme="minorBidi"/>
        </w:rPr>
        <w:t>etc</w:t>
      </w:r>
      <w:proofErr w:type="spellEnd"/>
      <w:r w:rsidRPr="00536DE2">
        <w:rPr>
          <w:rFonts w:ascii="Garamond" w:hAnsi="Garamond" w:cstheme="minorBidi"/>
        </w:rPr>
        <w:t>). . Furthermore, coverage of social protection floor is already captured in indicator 1.3. In contrast, the alternative indicator addresses income distribution directly.</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r w:rsidRPr="00536DE2">
        <w:rPr>
          <w:rFonts w:ascii="Garamond" w:eastAsia="Times New Roman" w:hAnsi="Garamond"/>
          <w:color w:val="000000" w:themeColor="text1"/>
          <w:szCs w:val="22"/>
          <w:lang w:eastAsia="it-IT"/>
        </w:rPr>
        <w:t>The rationale is to monitor progress toward Target 10.4 encompassing all three policies (fiscal, wage, social protection) and their impact on inequality.</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r w:rsidRPr="00536DE2">
        <w:rPr>
          <w:rFonts w:ascii="Garamond" w:eastAsia="Times New Roman" w:hAnsi="Garamond"/>
          <w:color w:val="000000" w:themeColor="text1"/>
          <w:szCs w:val="22"/>
          <w:lang w:eastAsia="it-IT"/>
        </w:rPr>
        <w:t>The indicator provides and an aggregate measure of primary income inequality, offering insights the role that social protection can have in reducing it.</w:t>
      </w:r>
    </w:p>
    <w:p w:rsidR="00536DE2" w:rsidRPr="00536DE2" w:rsidRDefault="00536DE2" w:rsidP="00536DE2">
      <w:pPr>
        <w:shd w:val="clear" w:color="auto" w:fill="FFFFFF"/>
        <w:spacing w:after="120"/>
        <w:ind w:left="720"/>
        <w:jc w:val="both"/>
        <w:rPr>
          <w:rFonts w:ascii="Garamond" w:eastAsia="Times New Roman" w:hAnsi="Garamond"/>
          <w:color w:val="000000" w:themeColor="text1"/>
          <w:szCs w:val="22"/>
          <w:lang w:eastAsia="it-IT"/>
        </w:rPr>
      </w:pPr>
    </w:p>
    <w:p w:rsidR="00536DE2" w:rsidRPr="00536DE2" w:rsidRDefault="00536DE2" w:rsidP="00536DE2">
      <w:pPr>
        <w:shd w:val="clear" w:color="auto" w:fill="FFFFFF"/>
        <w:spacing w:after="120"/>
        <w:jc w:val="both"/>
        <w:rPr>
          <w:rFonts w:ascii="Garamond" w:eastAsia="Times New Roman" w:hAnsi="Garamond"/>
          <w:b/>
          <w:color w:val="000000" w:themeColor="text1"/>
          <w:szCs w:val="22"/>
          <w:lang w:eastAsia="it-IT"/>
        </w:rPr>
      </w:pPr>
      <w:r w:rsidRPr="00536DE2">
        <w:rPr>
          <w:rFonts w:ascii="Garamond" w:eastAsia="Times New Roman" w:hAnsi="Garamond"/>
          <w:b/>
          <w:color w:val="000000" w:themeColor="text1"/>
          <w:szCs w:val="22"/>
          <w:lang w:eastAsia="it-IT"/>
        </w:rPr>
        <w:t>Disaggregation</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r w:rsidRPr="00536DE2">
        <w:rPr>
          <w:rFonts w:ascii="Garamond" w:eastAsia="Times New Roman" w:hAnsi="Garamond"/>
          <w:color w:val="000000" w:themeColor="text1"/>
          <w:szCs w:val="22"/>
          <w:lang w:eastAsia="it-IT"/>
        </w:rPr>
        <w:t>National estimates: total.</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r w:rsidRPr="00536DE2">
        <w:rPr>
          <w:rFonts w:ascii="Garamond" w:eastAsia="Times New Roman" w:hAnsi="Garamond"/>
          <w:color w:val="000000" w:themeColor="text1"/>
          <w:szCs w:val="22"/>
          <w:lang w:eastAsia="it-IT"/>
        </w:rPr>
        <w:t>Global estimates: total, by region, national income level.</w:t>
      </w:r>
    </w:p>
    <w:p w:rsidR="00536DE2" w:rsidRPr="00536DE2" w:rsidRDefault="00536DE2" w:rsidP="00536DE2">
      <w:pPr>
        <w:shd w:val="clear" w:color="auto" w:fill="FFFFFF"/>
        <w:spacing w:after="120"/>
        <w:ind w:left="720"/>
        <w:jc w:val="both"/>
        <w:rPr>
          <w:rFonts w:ascii="Garamond" w:eastAsia="Times New Roman" w:hAnsi="Garamond"/>
          <w:color w:val="000000" w:themeColor="text1"/>
          <w:szCs w:val="22"/>
          <w:lang w:eastAsia="it-IT"/>
        </w:rPr>
      </w:pPr>
    </w:p>
    <w:p w:rsidR="00536DE2" w:rsidRPr="00536DE2" w:rsidRDefault="00536DE2" w:rsidP="00536DE2">
      <w:pPr>
        <w:shd w:val="clear" w:color="auto" w:fill="FFFFFF"/>
        <w:spacing w:after="120"/>
        <w:jc w:val="both"/>
        <w:rPr>
          <w:rFonts w:ascii="Garamond" w:eastAsia="Times New Roman" w:hAnsi="Garamond"/>
          <w:b/>
          <w:color w:val="000000" w:themeColor="text1"/>
          <w:szCs w:val="22"/>
          <w:lang w:eastAsia="it-IT"/>
        </w:rPr>
      </w:pPr>
      <w:r w:rsidRPr="00536DE2">
        <w:rPr>
          <w:rFonts w:ascii="Garamond" w:eastAsia="Times New Roman" w:hAnsi="Garamond"/>
          <w:b/>
          <w:color w:val="000000" w:themeColor="text1"/>
          <w:szCs w:val="22"/>
          <w:lang w:eastAsia="it-IT"/>
        </w:rPr>
        <w:t>Comments and limitations</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p>
    <w:p w:rsidR="00536DE2" w:rsidRPr="00536DE2" w:rsidRDefault="00536DE2" w:rsidP="00536DE2">
      <w:pPr>
        <w:keepNext/>
        <w:keepLines/>
        <w:shd w:val="clear" w:color="auto" w:fill="FFFFFF"/>
        <w:spacing w:after="120"/>
        <w:jc w:val="both"/>
        <w:rPr>
          <w:rFonts w:ascii="Garamond" w:eastAsia="Times New Roman" w:hAnsi="Garamond"/>
          <w:b/>
          <w:color w:val="000000" w:themeColor="text1"/>
          <w:szCs w:val="22"/>
          <w:lang w:eastAsia="it-IT"/>
        </w:rPr>
      </w:pPr>
      <w:r w:rsidRPr="00536DE2">
        <w:rPr>
          <w:rFonts w:ascii="Garamond" w:eastAsia="Times New Roman" w:hAnsi="Garamond"/>
          <w:b/>
          <w:color w:val="000000" w:themeColor="text1"/>
          <w:szCs w:val="22"/>
          <w:lang w:eastAsia="it-IT"/>
        </w:rPr>
        <w:t>Gender equality issues</w:t>
      </w:r>
    </w:p>
    <w:p w:rsidR="00536DE2" w:rsidRPr="00536DE2" w:rsidRDefault="00536DE2" w:rsidP="00536DE2">
      <w:pPr>
        <w:keepNext/>
        <w:keepLines/>
        <w:shd w:val="clear" w:color="auto" w:fill="FFFFFF"/>
        <w:spacing w:after="120"/>
        <w:jc w:val="both"/>
        <w:rPr>
          <w:rFonts w:ascii="Garamond" w:eastAsia="Times New Roman" w:hAnsi="Garamond"/>
          <w:color w:val="000000" w:themeColor="text1"/>
          <w:szCs w:val="22"/>
          <w:lang w:eastAsia="it-IT"/>
        </w:rPr>
      </w:pPr>
      <w:r w:rsidRPr="00536DE2">
        <w:rPr>
          <w:rFonts w:ascii="Garamond" w:eastAsia="Times New Roman" w:hAnsi="Garamond"/>
          <w:color w:val="000000" w:themeColor="text1"/>
          <w:szCs w:val="22"/>
          <w:lang w:eastAsia="it-IT"/>
        </w:rPr>
        <w:t>The indicator is aggregate and not available by sex.</w:t>
      </w:r>
    </w:p>
    <w:p w:rsidR="00536DE2" w:rsidRPr="00536DE2" w:rsidRDefault="00536DE2" w:rsidP="00536DE2">
      <w:pPr>
        <w:shd w:val="clear" w:color="auto" w:fill="FFFFFF"/>
        <w:spacing w:after="120"/>
        <w:ind w:left="720"/>
        <w:jc w:val="both"/>
        <w:rPr>
          <w:rFonts w:ascii="Garamond" w:eastAsia="Times New Roman" w:hAnsi="Garamond"/>
          <w:color w:val="000000" w:themeColor="text1"/>
          <w:szCs w:val="22"/>
          <w:lang w:eastAsia="it-IT"/>
        </w:rPr>
      </w:pPr>
    </w:p>
    <w:p w:rsidR="00536DE2" w:rsidRPr="00536DE2" w:rsidRDefault="00536DE2" w:rsidP="00536DE2">
      <w:pPr>
        <w:shd w:val="clear" w:color="auto" w:fill="FFFFFF"/>
        <w:spacing w:after="120"/>
        <w:jc w:val="both"/>
        <w:rPr>
          <w:rFonts w:ascii="Garamond" w:eastAsia="Times New Roman" w:hAnsi="Garamond"/>
          <w:b/>
          <w:color w:val="000000" w:themeColor="text1"/>
          <w:szCs w:val="22"/>
          <w:lang w:eastAsia="it-IT"/>
        </w:rPr>
      </w:pPr>
      <w:r w:rsidRPr="00536DE2">
        <w:rPr>
          <w:rFonts w:ascii="Garamond" w:eastAsia="Times New Roman" w:hAnsi="Garamond"/>
          <w:b/>
          <w:color w:val="000000" w:themeColor="text1"/>
          <w:szCs w:val="22"/>
          <w:lang w:eastAsia="it-IT"/>
        </w:rPr>
        <w:t>Data for global and regional monitoring</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r w:rsidRPr="00536DE2">
        <w:rPr>
          <w:rFonts w:ascii="Garamond" w:eastAsia="Times New Roman" w:hAnsi="Garamond"/>
          <w:color w:val="000000" w:themeColor="text1"/>
          <w:szCs w:val="22"/>
          <w:lang w:eastAsia="it-IT"/>
        </w:rPr>
        <w:lastRenderedPageBreak/>
        <w:t>Data for global and regional monitoring are extracted from administrative data.  They are available in ILO (2014a) and IMF (2014) databases and in the System of National Accounts, for 200 countries.</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p>
    <w:p w:rsidR="00536DE2" w:rsidRPr="00536DE2" w:rsidRDefault="00536DE2" w:rsidP="00536DE2">
      <w:pPr>
        <w:shd w:val="clear" w:color="auto" w:fill="FFFFFF"/>
        <w:spacing w:after="120"/>
        <w:jc w:val="both"/>
        <w:rPr>
          <w:rFonts w:ascii="Garamond" w:eastAsia="Times New Roman" w:hAnsi="Garamond"/>
          <w:b/>
          <w:color w:val="000000" w:themeColor="text1"/>
          <w:szCs w:val="22"/>
          <w:lang w:eastAsia="it-IT"/>
        </w:rPr>
      </w:pPr>
      <w:r w:rsidRPr="00536DE2">
        <w:rPr>
          <w:rFonts w:ascii="Garamond" w:eastAsia="Times New Roman" w:hAnsi="Garamond"/>
          <w:b/>
          <w:color w:val="000000" w:themeColor="text1"/>
          <w:szCs w:val="22"/>
          <w:lang w:eastAsia="it-IT"/>
        </w:rPr>
        <w:t>Responsible Entities</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proofErr w:type="gramStart"/>
      <w:r w:rsidRPr="00536DE2">
        <w:rPr>
          <w:rFonts w:ascii="Garamond" w:eastAsia="Times New Roman" w:hAnsi="Garamond"/>
          <w:color w:val="000000" w:themeColor="text1"/>
          <w:szCs w:val="22"/>
          <w:lang w:eastAsia="it-IT"/>
        </w:rPr>
        <w:t>ILO.</w:t>
      </w:r>
      <w:proofErr w:type="gramEnd"/>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p>
    <w:p w:rsidR="00536DE2" w:rsidRPr="00536DE2" w:rsidRDefault="00536DE2" w:rsidP="00536DE2">
      <w:pPr>
        <w:shd w:val="clear" w:color="auto" w:fill="FFFFFF"/>
        <w:spacing w:after="120"/>
        <w:jc w:val="both"/>
        <w:rPr>
          <w:rFonts w:ascii="Garamond" w:eastAsia="Times New Roman" w:hAnsi="Garamond"/>
          <w:b/>
          <w:color w:val="000000" w:themeColor="text1"/>
          <w:szCs w:val="22"/>
          <w:lang w:eastAsia="it-IT"/>
        </w:rPr>
      </w:pPr>
      <w:r w:rsidRPr="00536DE2">
        <w:rPr>
          <w:rFonts w:ascii="Garamond" w:eastAsia="Times New Roman" w:hAnsi="Garamond"/>
          <w:b/>
          <w:color w:val="000000" w:themeColor="text1"/>
          <w:szCs w:val="22"/>
          <w:lang w:eastAsia="it-IT"/>
        </w:rPr>
        <w:t>Supplementary information</w:t>
      </w:r>
    </w:p>
    <w:p w:rsidR="00536DE2" w:rsidRPr="00536DE2" w:rsidRDefault="00536DE2" w:rsidP="00536DE2">
      <w:pPr>
        <w:shd w:val="clear" w:color="auto" w:fill="FFFFFF"/>
        <w:spacing w:after="120"/>
        <w:jc w:val="both"/>
        <w:rPr>
          <w:rFonts w:ascii="Garamond" w:eastAsia="Times New Roman" w:hAnsi="Garamond"/>
          <w:color w:val="000000" w:themeColor="text1"/>
          <w:szCs w:val="22"/>
          <w:lang w:eastAsia="it-IT"/>
        </w:rPr>
      </w:pPr>
      <w:r w:rsidRPr="00536DE2">
        <w:rPr>
          <w:rFonts w:ascii="Garamond" w:eastAsia="Times New Roman" w:hAnsi="Garamond"/>
          <w:color w:val="000000" w:themeColor="text1"/>
          <w:szCs w:val="22"/>
          <w:lang w:eastAsia="it-IT"/>
        </w:rPr>
        <w:t>No supplementary information.</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b/>
          <w:color w:val="auto"/>
          <w:szCs w:val="22"/>
        </w:rPr>
      </w:pPr>
      <w:r w:rsidRPr="00536DE2">
        <w:rPr>
          <w:rFonts w:asciiTheme="majorHAnsi" w:hAnsiTheme="majorHAnsi"/>
          <w:b/>
          <w:color w:val="auto"/>
          <w:szCs w:val="22"/>
        </w:rPr>
        <w:t>Indicator 10.4.2: Shares of tax revenue coming from indirect and direct taxes.</w:t>
      </w: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Definition and method of computation</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The definition of the direct and indirect taxes is based on SNA (2008).</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Rationale and interpretation</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The rationale is to monitor progress toward Target 10.4 with special emphasis on fiscal policy (as revenue policy) and its impact on inequality.</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 xml:space="preserve">While indirect taxations </w:t>
      </w:r>
      <w:proofErr w:type="gramStart"/>
      <w:r w:rsidRPr="00536DE2">
        <w:rPr>
          <w:rFonts w:asciiTheme="majorHAnsi" w:hAnsiTheme="majorHAnsi"/>
          <w:color w:val="auto"/>
          <w:sz w:val="22"/>
          <w:szCs w:val="22"/>
        </w:rPr>
        <w:t>is</w:t>
      </w:r>
      <w:proofErr w:type="gramEnd"/>
      <w:r w:rsidRPr="00536DE2">
        <w:rPr>
          <w:rFonts w:asciiTheme="majorHAnsi" w:hAnsiTheme="majorHAnsi"/>
          <w:color w:val="auto"/>
          <w:sz w:val="22"/>
          <w:szCs w:val="22"/>
        </w:rPr>
        <w:t xml:space="preserve"> seen as regressive and direct taxation is progressive, the proportion of both provides a measure of the tax system's impact on inequality. If reduction of inequality is pursued only by catering to the bottom 40 percent of income earners, the result is ineffective. Therefore the proposal is biased as it overlooks the amount of public spending that benefits the top 10% of income earners, a major factor in the persistent income inequalities.</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Disaggregation</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National estimates: total.</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Global estimates: total, by region, national income level.</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Comments and limitations</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Gender equality issues</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The indicator is aggregate and not available by sex.</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lastRenderedPageBreak/>
        <w:t>Data for global and regional monitoring</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 xml:space="preserve">Data for global and regional monitoring are extracted from administrative data.  They are available in IMF (2014) and in national accounts for 200 countries. </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Responsible Entities</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ILO, IMF.</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Supplementary information</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No supplementary information.</w:t>
      </w: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pacing w:after="200" w:line="276" w:lineRule="auto"/>
        <w:jc w:val="both"/>
        <w:rPr>
          <w:rFonts w:asciiTheme="majorHAnsi" w:hAnsiTheme="majorHAnsi"/>
          <w:color w:val="auto"/>
          <w:sz w:val="22"/>
          <w:szCs w:val="22"/>
        </w:rPr>
      </w:pPr>
    </w:p>
    <w:p w:rsidR="00536DE2" w:rsidRPr="00536DE2" w:rsidRDefault="00536DE2" w:rsidP="00536DE2">
      <w:pPr>
        <w:shd w:val="clear" w:color="auto" w:fill="B8CCE4" w:themeFill="accent1" w:themeFillTint="66"/>
        <w:spacing w:after="200" w:line="276" w:lineRule="auto"/>
        <w:jc w:val="both"/>
        <w:rPr>
          <w:rFonts w:asciiTheme="majorHAnsi" w:hAnsiTheme="majorHAnsi" w:cstheme="minorBidi"/>
          <w:b/>
          <w:color w:val="365F91" w:themeColor="accent1" w:themeShade="BF"/>
        </w:rPr>
      </w:pPr>
      <w:r w:rsidRPr="00536DE2">
        <w:rPr>
          <w:rFonts w:asciiTheme="majorHAnsi" w:hAnsiTheme="majorHAnsi" w:cstheme="minorBidi"/>
          <w:b/>
          <w:color w:val="365F91" w:themeColor="accent1" w:themeShade="BF"/>
        </w:rPr>
        <w:t>Target 10.7: Facilitate orderly, safe, regular and responsible migration and mobility of people, including through the implementation of planned and well-managed migration policies.</w:t>
      </w:r>
    </w:p>
    <w:p w:rsidR="00536DE2" w:rsidRPr="00536DE2" w:rsidRDefault="00536DE2" w:rsidP="00536DE2">
      <w:pPr>
        <w:spacing w:before="240" w:after="200" w:line="276" w:lineRule="auto"/>
        <w:jc w:val="both"/>
        <w:rPr>
          <w:rFonts w:asciiTheme="majorHAnsi" w:hAnsiTheme="majorHAnsi"/>
          <w:b/>
          <w:color w:val="auto"/>
          <w:szCs w:val="22"/>
        </w:rPr>
      </w:pPr>
      <w:r w:rsidRPr="00536DE2">
        <w:rPr>
          <w:rFonts w:asciiTheme="majorHAnsi" w:hAnsiTheme="majorHAnsi"/>
          <w:b/>
          <w:color w:val="auto"/>
          <w:szCs w:val="22"/>
        </w:rPr>
        <w:t>Indicator 10.7.1: Ratification and implementation of the ILO Labour Migration Conventions.</w:t>
      </w: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Definition and method of computation</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This indicator conveys (separately) the number of countries that have ratified the ILO Migration for Employment Convention of 1949 (N° 97) and the ILO Migrant Workers (Supplementary Provisions) Convention of 1975 (N° 143). ILO conventions are legally binding international treaties drawn up by the ILO's constituents (governments, employers and workers) and setting out basic principles and rights at work.</w:t>
      </w:r>
    </w:p>
    <w:p w:rsidR="00536DE2" w:rsidRPr="00536DE2" w:rsidRDefault="00536DE2" w:rsidP="00536DE2">
      <w:pPr>
        <w:spacing w:after="200" w:line="276" w:lineRule="auto"/>
        <w:jc w:val="both"/>
        <w:rPr>
          <w:rFonts w:asciiTheme="majorHAnsi" w:hAnsiTheme="majorHAnsi"/>
          <w:b/>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Rationale and interpretation</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 xml:space="preserve">Globalization, demographic shifts, conflicts, income inequalities and climate change encourage every day more and more workers and their families to cross borders in search of employment and security. Migrant workers contribute to growth and development in their countries of destination, while countries of origin greatly benefit from their remittances and the skills acquired during their migration experience. Yet, the migration process implies complex challenges in terms of governance, migrant workers' protection, migration and development linkages, and international cooperation. Lack of labour protection for migrant workers undermines protection generally for all workers. From its very inception, the ILO also resolved to protect "the interests of workers employed in countries other than their own" (ILO Constitution, 1919, Preamble, recital 2), and has pioneered the development of specific </w:t>
      </w:r>
      <w:r w:rsidRPr="00536DE2">
        <w:rPr>
          <w:rFonts w:asciiTheme="majorHAnsi" w:hAnsiTheme="majorHAnsi"/>
          <w:color w:val="auto"/>
          <w:sz w:val="22"/>
          <w:szCs w:val="22"/>
        </w:rPr>
        <w:lastRenderedPageBreak/>
        <w:t>international standards for the governance of labour migration and protection of migrant workers. The many international labour standards adopted over the years by the International Labour Conference of the ILO are important for safeguarding the dignity and rights of migrant workers.</w:t>
      </w: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Sources and data collection</w:t>
      </w:r>
    </w:p>
    <w:p w:rsidR="00536DE2" w:rsidRPr="00536DE2" w:rsidRDefault="00536DE2" w:rsidP="00536DE2">
      <w:pPr>
        <w:spacing w:after="200" w:line="276" w:lineRule="auto"/>
        <w:jc w:val="both"/>
        <w:rPr>
          <w:rFonts w:asciiTheme="majorHAnsi" w:hAnsiTheme="majorHAnsi"/>
          <w:color w:val="auto"/>
          <w:sz w:val="22"/>
          <w:szCs w:val="22"/>
        </w:rPr>
      </w:pPr>
      <w:proofErr w:type="gramStart"/>
      <w:r w:rsidRPr="00536DE2">
        <w:rPr>
          <w:rFonts w:asciiTheme="majorHAnsi" w:hAnsiTheme="majorHAnsi"/>
          <w:color w:val="auto"/>
          <w:sz w:val="22"/>
          <w:szCs w:val="22"/>
        </w:rPr>
        <w:t>NORMLEX (Information System on International Labour Standards of the ILO).</w:t>
      </w:r>
      <w:proofErr w:type="gramEnd"/>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Disaggregation</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Data could be obtained separately for ILO Conventions n°97 and n°143.</w:t>
      </w: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Comments and limitations</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In principle, all international labour standards, unless otherwise stated, are applicable to migrant workers. Thus, focussing on the two ILO Conventions specifically dealing with labour migration may be somewhat restrictive. Moreover, the number of ILO conventions ratified does not convey any information on their actual application or on the respect in practice of international labour standards in the national context.</w:t>
      </w: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Gender equality issues</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The ILO recognizes gender equality not only as a basic human right, but also as intrinsic to the global aim of decent work for all. The ILO mandate on gender equality is stated in numerous resolutions of the International Labour Conference, as well as relevant International Labour Conventions (including the two ILO migrant specific conventions).</w:t>
      </w: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Data for global and regional monitoring</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The ILO has information on all conventions ratified and not ratified by each country, and on the global number of countries that have ratified each convention, including the two migrant specific conventions. Such information can be found in NORMLEX, the ILO Information System on International Labour Standards.</w:t>
      </w:r>
    </w:p>
    <w:p w:rsidR="00536DE2" w:rsidRPr="00536DE2" w:rsidRDefault="00536DE2" w:rsidP="00536DE2">
      <w:pPr>
        <w:spacing w:after="200" w:line="276" w:lineRule="auto"/>
        <w:jc w:val="both"/>
        <w:rPr>
          <w:rFonts w:asciiTheme="majorHAnsi" w:hAnsiTheme="majorHAnsi"/>
          <w:b/>
          <w:color w:val="auto"/>
          <w:sz w:val="22"/>
          <w:szCs w:val="22"/>
        </w:rPr>
      </w:pPr>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Supplementary information and references</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 xml:space="preserve">For further details, refer to the webpage of the Labour Migration Branch of the ILO </w:t>
      </w:r>
      <w:hyperlink r:id="rId5" w:history="1">
        <w:r w:rsidRPr="00536DE2">
          <w:rPr>
            <w:rFonts w:asciiTheme="majorHAnsi" w:hAnsiTheme="majorHAnsi"/>
            <w:color w:val="0000FF" w:themeColor="hyperlink"/>
            <w:sz w:val="22"/>
            <w:szCs w:val="22"/>
            <w:u w:val="single"/>
          </w:rPr>
          <w:t>http://www.ilo.org/global/topics/labour-migration/lang--</w:t>
        </w:r>
        <w:proofErr w:type="spellStart"/>
        <w:r w:rsidRPr="00536DE2">
          <w:rPr>
            <w:rFonts w:asciiTheme="majorHAnsi" w:hAnsiTheme="majorHAnsi"/>
            <w:color w:val="0000FF" w:themeColor="hyperlink"/>
            <w:sz w:val="22"/>
            <w:szCs w:val="22"/>
            <w:u w:val="single"/>
          </w:rPr>
          <w:t>en</w:t>
        </w:r>
        <w:proofErr w:type="spellEnd"/>
        <w:r w:rsidRPr="00536DE2">
          <w:rPr>
            <w:rFonts w:asciiTheme="majorHAnsi" w:hAnsiTheme="majorHAnsi"/>
            <w:color w:val="0000FF" w:themeColor="hyperlink"/>
            <w:sz w:val="22"/>
            <w:szCs w:val="22"/>
            <w:u w:val="single"/>
          </w:rPr>
          <w:t>/index.htm</w:t>
        </w:r>
      </w:hyperlink>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Responsible entities</w:t>
      </w:r>
    </w:p>
    <w:p w:rsidR="00536DE2" w:rsidRPr="00536DE2" w:rsidRDefault="00536DE2" w:rsidP="00536DE2">
      <w:pPr>
        <w:spacing w:after="200" w:line="276" w:lineRule="auto"/>
        <w:jc w:val="both"/>
        <w:rPr>
          <w:rFonts w:asciiTheme="majorHAnsi" w:hAnsiTheme="majorHAnsi"/>
          <w:color w:val="auto"/>
          <w:sz w:val="22"/>
          <w:szCs w:val="22"/>
        </w:rPr>
      </w:pPr>
      <w:proofErr w:type="gramStart"/>
      <w:r w:rsidRPr="00536DE2">
        <w:rPr>
          <w:rFonts w:asciiTheme="majorHAnsi" w:hAnsiTheme="majorHAnsi"/>
          <w:color w:val="auto"/>
          <w:sz w:val="22"/>
          <w:szCs w:val="22"/>
        </w:rPr>
        <w:t>ILO.</w:t>
      </w:r>
      <w:proofErr w:type="gramEnd"/>
    </w:p>
    <w:p w:rsidR="00536DE2" w:rsidRPr="00536DE2" w:rsidRDefault="00536DE2" w:rsidP="00536DE2">
      <w:pPr>
        <w:spacing w:after="200" w:line="276" w:lineRule="auto"/>
        <w:jc w:val="both"/>
        <w:rPr>
          <w:rFonts w:asciiTheme="majorHAnsi" w:hAnsiTheme="majorHAnsi"/>
          <w:b/>
          <w:color w:val="auto"/>
          <w:sz w:val="22"/>
          <w:szCs w:val="22"/>
        </w:rPr>
      </w:pPr>
      <w:r w:rsidRPr="00536DE2">
        <w:rPr>
          <w:rFonts w:asciiTheme="majorHAnsi" w:hAnsiTheme="majorHAnsi"/>
          <w:b/>
          <w:color w:val="auto"/>
          <w:sz w:val="22"/>
          <w:szCs w:val="22"/>
        </w:rPr>
        <w:t>Current data availability</w:t>
      </w:r>
    </w:p>
    <w:p w:rsidR="00536DE2" w:rsidRPr="00536DE2" w:rsidRDefault="00536DE2" w:rsidP="00536DE2">
      <w:pPr>
        <w:spacing w:after="200" w:line="276" w:lineRule="auto"/>
        <w:jc w:val="both"/>
        <w:rPr>
          <w:rFonts w:asciiTheme="majorHAnsi" w:hAnsiTheme="majorHAnsi"/>
          <w:color w:val="auto"/>
          <w:sz w:val="22"/>
          <w:szCs w:val="22"/>
        </w:rPr>
      </w:pPr>
      <w:r w:rsidRPr="00536DE2">
        <w:rPr>
          <w:rFonts w:asciiTheme="majorHAnsi" w:hAnsiTheme="majorHAnsi"/>
          <w:color w:val="auto"/>
          <w:sz w:val="22"/>
          <w:szCs w:val="22"/>
        </w:rPr>
        <w:t>The ILO has information on all ILO member states (185), of which 49 ratified convention n°97 and 23 ratified convention n°143.</w:t>
      </w:r>
    </w:p>
    <w:p w:rsidR="0035634B" w:rsidRDefault="0035634B">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DE2"/>
    <w:rsid w:val="0035634B"/>
    <w:rsid w:val="00374D74"/>
    <w:rsid w:val="0053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lo.org/global/topics/labour-migration/lang--en/index.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2015-07-08T19:15:00Z</dcterms:created>
  <dcterms:modified xsi:type="dcterms:W3CDTF">2015-07-08T19:15:00Z</dcterms:modified>
</cp:coreProperties>
</file>